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86" w:rsidRPr="005F2286" w:rsidRDefault="005F2286" w:rsidP="005F2286">
      <w:pPr>
        <w:jc w:val="center"/>
        <w:rPr>
          <w:rFonts w:ascii="Arial" w:hAnsi="Arial" w:cs="Arial"/>
          <w:b/>
          <w:color w:val="222222"/>
          <w:sz w:val="32"/>
          <w:szCs w:val="32"/>
          <w:shd w:val="clear" w:color="auto" w:fill="FFFFFF"/>
          <w:lang w:val="en-US"/>
        </w:rPr>
      </w:pPr>
      <w:r w:rsidRPr="005F2286">
        <w:rPr>
          <w:rFonts w:ascii="Arial" w:hAnsi="Arial" w:cs="Arial"/>
          <w:b/>
          <w:color w:val="222222"/>
          <w:sz w:val="32"/>
          <w:szCs w:val="32"/>
          <w:shd w:val="clear" w:color="auto" w:fill="FFFFFF"/>
          <w:lang w:val="en-US"/>
        </w:rPr>
        <w:t>The determinants of low-intensity intergroup violence: The case of Northern Ireland</w:t>
      </w:r>
    </w:p>
    <w:p w:rsidR="005F2286" w:rsidRPr="005F2286" w:rsidRDefault="005F2286" w:rsidP="005F2286">
      <w:pPr>
        <w:jc w:val="both"/>
        <w:rPr>
          <w:rFonts w:ascii="Arial" w:hAnsi="Arial" w:cs="Arial"/>
          <w:color w:val="222222"/>
          <w:sz w:val="32"/>
          <w:szCs w:val="32"/>
          <w:shd w:val="clear" w:color="auto" w:fill="FFFFFF"/>
          <w:lang w:val="en-US"/>
        </w:rPr>
      </w:pPr>
      <w:r w:rsidRPr="005F2286">
        <w:rPr>
          <w:rFonts w:ascii="Arial" w:hAnsi="Arial" w:cs="Arial"/>
          <w:color w:val="222222"/>
          <w:sz w:val="32"/>
          <w:szCs w:val="32"/>
          <w:shd w:val="clear" w:color="auto" w:fill="FFFFFF"/>
          <w:lang w:val="en-US"/>
        </w:rPr>
        <w:t> </w:t>
      </w:r>
    </w:p>
    <w:p w:rsidR="005F2286" w:rsidRPr="005F2286" w:rsidRDefault="005F2286" w:rsidP="005F2286">
      <w:pPr>
        <w:jc w:val="both"/>
        <w:rPr>
          <w:rFonts w:ascii="Arial" w:hAnsi="Arial" w:cs="Arial"/>
          <w:color w:val="222222"/>
          <w:sz w:val="32"/>
          <w:szCs w:val="32"/>
          <w:shd w:val="clear" w:color="auto" w:fill="FFFFFF"/>
          <w:lang w:val="en-US"/>
        </w:rPr>
      </w:pPr>
      <w:r w:rsidRPr="005F2286">
        <w:rPr>
          <w:rFonts w:ascii="Arial" w:hAnsi="Arial" w:cs="Arial"/>
          <w:color w:val="222222"/>
          <w:sz w:val="32"/>
          <w:szCs w:val="32"/>
          <w:shd w:val="clear" w:color="auto" w:fill="FFFFFF"/>
          <w:lang w:val="en-US"/>
        </w:rPr>
        <w:t>Laia Balcells (Duke University), Lesley-Ann Daniels (Institut Barcelona d’Estudis Internacionals &amp; Universitat Pompeu Fabra), Abel Escribà-Folch (Universitat Pompeu Fabra)</w:t>
      </w:r>
    </w:p>
    <w:p w:rsidR="005F2286" w:rsidRPr="005F2286" w:rsidRDefault="005F2286" w:rsidP="005F2286">
      <w:pPr>
        <w:jc w:val="both"/>
        <w:rPr>
          <w:rFonts w:ascii="Arial" w:hAnsi="Arial" w:cs="Arial"/>
          <w:color w:val="222222"/>
          <w:sz w:val="32"/>
          <w:szCs w:val="32"/>
          <w:shd w:val="clear" w:color="auto" w:fill="FFFFFF"/>
          <w:lang w:val="en-US"/>
        </w:rPr>
      </w:pPr>
    </w:p>
    <w:p w:rsidR="005F2286" w:rsidRDefault="005F2286" w:rsidP="005F2286">
      <w:pPr>
        <w:jc w:val="both"/>
        <w:rPr>
          <w:rFonts w:ascii="Arial" w:hAnsi="Arial" w:cs="Arial"/>
          <w:b/>
          <w:bCs/>
          <w:color w:val="222222"/>
          <w:sz w:val="32"/>
          <w:szCs w:val="32"/>
          <w:shd w:val="clear" w:color="auto" w:fill="FFFFFF"/>
          <w:lang w:val="en-US"/>
        </w:rPr>
      </w:pPr>
    </w:p>
    <w:p w:rsidR="008672BF" w:rsidRPr="005F2286" w:rsidRDefault="005F2286" w:rsidP="005F2286">
      <w:pPr>
        <w:jc w:val="both"/>
        <w:rPr>
          <w:sz w:val="32"/>
          <w:szCs w:val="32"/>
          <w:lang w:val="en-US"/>
        </w:rPr>
      </w:pPr>
      <w:r w:rsidRPr="005F2286">
        <w:rPr>
          <w:rFonts w:ascii="Arial" w:hAnsi="Arial" w:cs="Arial"/>
          <w:b/>
          <w:bCs/>
          <w:color w:val="222222"/>
          <w:sz w:val="32"/>
          <w:szCs w:val="32"/>
          <w:shd w:val="clear" w:color="auto" w:fill="FFFFFF"/>
          <w:lang w:val="en-US"/>
        </w:rPr>
        <w:t>Abstract:</w:t>
      </w:r>
      <w:r w:rsidRPr="005F2286">
        <w:rPr>
          <w:rStyle w:val="apple-converted-space"/>
          <w:rFonts w:ascii="Arial" w:hAnsi="Arial" w:cs="Arial"/>
          <w:color w:val="222222"/>
          <w:sz w:val="32"/>
          <w:szCs w:val="32"/>
          <w:shd w:val="clear" w:color="auto" w:fill="FFFFFF"/>
          <w:lang w:val="en-US"/>
        </w:rPr>
        <w:t> </w:t>
      </w:r>
      <w:r w:rsidRPr="005F2286">
        <w:rPr>
          <w:rFonts w:ascii="Arial" w:hAnsi="Arial" w:cs="Arial"/>
          <w:color w:val="222222"/>
          <w:sz w:val="32"/>
          <w:szCs w:val="32"/>
          <w:shd w:val="clear" w:color="auto" w:fill="FFFFFF"/>
          <w:lang w:val="en-US"/>
        </w:rPr>
        <w:t>What accounts for low-intensity intergroup violence? This article explores the micro-level determinants of low-intensity sectarian violence in Northern Ireland, which has marked the post-1998 peace agreement period. We use original cross-sectional time series violence data for the 2005-2012 period at a disaggregated sub-national level, the</w:t>
      </w:r>
      <w:r w:rsidRPr="005F2286">
        <w:rPr>
          <w:rStyle w:val="apple-converted-space"/>
          <w:rFonts w:ascii="Arial" w:hAnsi="Arial" w:cs="Arial"/>
          <w:color w:val="222222"/>
          <w:sz w:val="32"/>
          <w:szCs w:val="32"/>
          <w:shd w:val="clear" w:color="auto" w:fill="FFFFFF"/>
          <w:lang w:val="en-US"/>
        </w:rPr>
        <w:t> </w:t>
      </w:r>
      <w:r w:rsidRPr="005F2286">
        <w:rPr>
          <w:rFonts w:ascii="Arial" w:hAnsi="Arial" w:cs="Arial"/>
          <w:i/>
          <w:iCs/>
          <w:color w:val="222222"/>
          <w:sz w:val="32"/>
          <w:szCs w:val="32"/>
          <w:shd w:val="clear" w:color="auto" w:fill="FFFFFF"/>
          <w:lang w:val="en-US"/>
        </w:rPr>
        <w:t>ward</w:t>
      </w:r>
      <w:r w:rsidRPr="005F2286">
        <w:rPr>
          <w:rFonts w:ascii="Arial" w:hAnsi="Arial" w:cs="Arial"/>
          <w:color w:val="222222"/>
          <w:sz w:val="32"/>
          <w:szCs w:val="32"/>
          <w:shd w:val="clear" w:color="auto" w:fill="FFFFFF"/>
          <w:lang w:val="en-US"/>
        </w:rPr>
        <w:t>, and a wide variety of social and political indicators. In particular, we assess the impact of within-ward ethnic composition, on the one hand, and the ethnic composition of neighboring wards, on the other. We find that the number of intergroup violent events peak in wards where there is</w:t>
      </w:r>
      <w:r w:rsidRPr="005F2286">
        <w:rPr>
          <w:rStyle w:val="apple-converted-space"/>
          <w:rFonts w:ascii="Arial" w:hAnsi="Arial" w:cs="Arial"/>
          <w:color w:val="222222"/>
          <w:sz w:val="32"/>
          <w:szCs w:val="32"/>
          <w:shd w:val="clear" w:color="auto" w:fill="FFFFFF"/>
          <w:lang w:val="en-US"/>
        </w:rPr>
        <w:t> </w:t>
      </w:r>
      <w:r w:rsidRPr="005F2286">
        <w:rPr>
          <w:rFonts w:ascii="Arial" w:hAnsi="Arial" w:cs="Arial"/>
          <w:i/>
          <w:iCs/>
          <w:color w:val="222222"/>
          <w:sz w:val="32"/>
          <w:szCs w:val="32"/>
          <w:shd w:val="clear" w:color="auto" w:fill="FFFFFF"/>
          <w:lang w:val="en-US"/>
        </w:rPr>
        <w:t>parity</w:t>
      </w:r>
      <w:r w:rsidRPr="005F2286">
        <w:rPr>
          <w:rStyle w:val="apple-converted-space"/>
          <w:rFonts w:ascii="Arial" w:hAnsi="Arial" w:cs="Arial"/>
          <w:color w:val="222222"/>
          <w:sz w:val="32"/>
          <w:szCs w:val="32"/>
          <w:shd w:val="clear" w:color="auto" w:fill="FFFFFF"/>
          <w:lang w:val="en-US"/>
        </w:rPr>
        <w:t> </w:t>
      </w:r>
      <w:r w:rsidRPr="005F2286">
        <w:rPr>
          <w:rFonts w:ascii="Arial" w:hAnsi="Arial" w:cs="Arial"/>
          <w:color w:val="222222"/>
          <w:sz w:val="32"/>
          <w:szCs w:val="32"/>
          <w:shd w:val="clear" w:color="auto" w:fill="FFFFFF"/>
          <w:lang w:val="en-US"/>
        </w:rPr>
        <w:t>between groups, and in predominantly Catholic (Protestant) wards that border predominantly Protestant (Catholic) wards. The rationale is that violence takes place where groups have both opportunities to perpetrate sectarian violence and instrumental incentives to do it. The article makes several contributions: it demonstrates that violence is explained by factors that go beyond underlying enmity between groups; it shows that micro-level dynamics can expand beyond local territorial units; and it suggests that ethnic segregation is unlikely to prevent intergroup violence.</w:t>
      </w:r>
    </w:p>
    <w:sectPr w:rsidR="008672BF" w:rsidRPr="005F2286" w:rsidSect="008672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F2286"/>
    <w:rsid w:val="005F2286"/>
    <w:rsid w:val="008672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F2286"/>
  </w:style>
</w:styles>
</file>

<file path=word/webSettings.xml><?xml version="1.0" encoding="utf-8"?>
<w:webSettings xmlns:r="http://schemas.openxmlformats.org/officeDocument/2006/relationships" xmlns:w="http://schemas.openxmlformats.org/wordprocessingml/2006/main">
  <w:divs>
    <w:div w:id="309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1261</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Universitat Pompeu Fabra</dc:creator>
  <cp:lastModifiedBy>Universitat Pompeu Fabra</cp:lastModifiedBy>
  <cp:revision>1</cp:revision>
  <dcterms:created xsi:type="dcterms:W3CDTF">2015-05-28T08:39:00Z</dcterms:created>
  <dcterms:modified xsi:type="dcterms:W3CDTF">2015-05-28T08:41:00Z</dcterms:modified>
</cp:coreProperties>
</file>